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Pzp”.</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3E72067B" w:rsidR="005E32C1" w:rsidRPr="007A3A37" w:rsidRDefault="00681252" w:rsidP="00A15171">
      <w:pPr>
        <w:pBdr>
          <w:bottom w:val="single" w:sz="4" w:space="31" w:color="auto"/>
        </w:pBdr>
        <w:autoSpaceDE w:val="0"/>
        <w:autoSpaceDN w:val="0"/>
        <w:adjustRightInd w:val="0"/>
        <w:jc w:val="center"/>
        <w:rPr>
          <w:rFonts w:ascii="Arial" w:hAnsi="Arial" w:cs="Arial"/>
          <w:szCs w:val="22"/>
        </w:rPr>
      </w:pPr>
      <w:r>
        <w:rPr>
          <w:rFonts w:ascii="Arial" w:hAnsi="Arial" w:cs="Arial"/>
          <w:b/>
          <w:bCs/>
          <w:szCs w:val="22"/>
        </w:rPr>
        <w:t>P</w:t>
      </w:r>
      <w:r w:rsidRPr="0010711F">
        <w:rPr>
          <w:rFonts w:ascii="Arial" w:hAnsi="Arial" w:cs="Arial"/>
          <w:b/>
          <w:bCs/>
          <w:szCs w:val="22"/>
        </w:rPr>
        <w:t>rzebudow</w:t>
      </w:r>
      <w:r>
        <w:rPr>
          <w:rFonts w:ascii="Arial" w:hAnsi="Arial" w:cs="Arial"/>
          <w:b/>
          <w:bCs/>
          <w:szCs w:val="22"/>
        </w:rPr>
        <w:t>a</w:t>
      </w:r>
      <w:r w:rsidRPr="0010711F">
        <w:rPr>
          <w:rFonts w:ascii="Arial" w:hAnsi="Arial" w:cs="Arial"/>
          <w:b/>
          <w:bCs/>
          <w:szCs w:val="22"/>
        </w:rPr>
        <w:t xml:space="preserve"> drogi powiatowej Nr 1 713R klasy "L" – lokalnej relacji Grochowe II - Trześń - Mielec  km 1+795,00 ÷ 2+091,00 w m. Trześń</w:t>
      </w:r>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604002DC"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681252">
        <w:rPr>
          <w:rFonts w:ascii="Arial" w:hAnsi="Arial" w:cs="Arial"/>
          <w:bCs/>
          <w:szCs w:val="22"/>
        </w:rPr>
        <w:t>11</w:t>
      </w:r>
      <w:r w:rsidR="009F26A3">
        <w:rPr>
          <w:rFonts w:ascii="Arial" w:hAnsi="Arial" w:cs="Arial"/>
          <w:bCs/>
          <w:szCs w:val="22"/>
        </w:rPr>
        <w:t>.0</w:t>
      </w:r>
      <w:r w:rsidR="00681252">
        <w:rPr>
          <w:rFonts w:ascii="Arial" w:hAnsi="Arial" w:cs="Arial"/>
          <w:bCs/>
          <w:szCs w:val="22"/>
        </w:rPr>
        <w:t>5</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77777777"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D4D9EAD" w14:textId="77777777" w:rsidR="00907646" w:rsidRPr="00907646" w:rsidRDefault="00907646" w:rsidP="00907646">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55CD3C1F" w14:textId="77777777" w:rsidR="00907646" w:rsidRPr="00907646" w:rsidRDefault="00907646" w:rsidP="00907646">
      <w:pPr>
        <w:jc w:val="both"/>
        <w:rPr>
          <w:rFonts w:cs="Calibri"/>
          <w:szCs w:val="22"/>
        </w:rPr>
      </w:pPr>
      <w:r w:rsidRPr="00907646">
        <w:rPr>
          <w:rFonts w:cs="Calibri"/>
          <w:szCs w:val="22"/>
        </w:rPr>
        <w:t>Pana Stanisława Lonczaka  –  Starostę Powiatu Mieleckiego oraz</w:t>
      </w:r>
    </w:p>
    <w:p w14:paraId="3D88530B" w14:textId="42A2001C" w:rsidR="00907646" w:rsidRPr="00907646" w:rsidRDefault="00907646" w:rsidP="00907646">
      <w:pPr>
        <w:jc w:val="both"/>
        <w:rPr>
          <w:rFonts w:cs="Calibri"/>
          <w:szCs w:val="22"/>
        </w:rPr>
      </w:pPr>
      <w:r w:rsidRPr="00907646">
        <w:rPr>
          <w:rFonts w:cs="Calibri"/>
          <w:szCs w:val="22"/>
        </w:rPr>
        <w:t>Pana Jacka Krzyżewskiego – Dyrektora Powiatowego Zarządu Dróg w Mielcu działającego</w:t>
      </w:r>
      <w:r w:rsidR="00951F15">
        <w:rPr>
          <w:rFonts w:cs="Calibri"/>
          <w:szCs w:val="22"/>
        </w:rPr>
        <w:t xml:space="preserve"> </w:t>
      </w:r>
      <w:r w:rsidRPr="00907646">
        <w:rPr>
          <w:rFonts w:cs="Calibri"/>
          <w:szCs w:val="22"/>
        </w:rPr>
        <w:t>z</w:t>
      </w:r>
      <w:r w:rsidR="00951F15">
        <w:rPr>
          <w:rFonts w:cs="Calibri"/>
          <w:szCs w:val="22"/>
        </w:rPr>
        <w:t> </w:t>
      </w:r>
      <w:r w:rsidRPr="00907646">
        <w:rPr>
          <w:rFonts w:cs="Calibri"/>
          <w:szCs w:val="22"/>
        </w:rPr>
        <w:t>upoważnienia Zarządu Powiatu Mieleckiego,</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Pzp”,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5319EEAE" w:rsidR="00907646" w:rsidRPr="00907646" w:rsidRDefault="00907646" w:rsidP="003B0642">
      <w:pPr>
        <w:pStyle w:val="Nagwek2"/>
      </w:pPr>
      <w:r w:rsidRPr="00907646">
        <w:t xml:space="preserve">Wykonawca zobowiązuje się do wykonania przewidzianych w Umowie robót objętych zadaniem pn.: </w:t>
      </w:r>
      <w:r w:rsidR="00681252" w:rsidRPr="00681252">
        <w:rPr>
          <w:b/>
          <w:bCs/>
        </w:rPr>
        <w:t>Przebudowa drogi powiatowej Nr 1 713R klasy "L" – lokalnej relacji Grochowe II - Trześń - Mielec  km 1+795,00 ÷ 2+091,00 w m. Trześń</w:t>
      </w:r>
      <w:r w:rsidRPr="00907646">
        <w:t>, zwanych dalej Przedmiotem umowy według ustalonego Kosztorysu umownego, stanowiącego Załącznik nr 1 do Umowy, oraz Specyfikacji technicznych wykonania i odbioru robót budowlanych, zwanych dalej „STWiORB”,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776B307C" w:rsidR="00907646" w:rsidRPr="00907646" w:rsidRDefault="00907646" w:rsidP="00907646">
      <w:pPr>
        <w:pStyle w:val="Nagwek2"/>
      </w:pPr>
      <w:r w:rsidRPr="00907646">
        <w:t xml:space="preserve">Termin wykonania zamówienia wynosi: </w:t>
      </w:r>
      <w:r w:rsidR="00681252">
        <w:rPr>
          <w:b/>
        </w:rPr>
        <w:t>120</w:t>
      </w:r>
      <w:r w:rsidRPr="00907646">
        <w:rPr>
          <w:b/>
        </w:rPr>
        <w:t xml:space="preserve"> dni licząc od dnia zawarcia umowy</w:t>
      </w:r>
      <w:r w:rsidRPr="00907646">
        <w:rPr>
          <w:bCs/>
        </w:rPr>
        <w:t>.</w:t>
      </w:r>
    </w:p>
    <w:p w14:paraId="0D236175" w14:textId="1B56C9B1"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20639137"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STWiORB,</w:t>
      </w:r>
    </w:p>
    <w:p w14:paraId="3BA0B9D1" w14:textId="77777777" w:rsidR="00907646" w:rsidRPr="00907646" w:rsidRDefault="00907646" w:rsidP="00907646">
      <w:pPr>
        <w:pStyle w:val="Nagwek3"/>
      </w:pPr>
      <w:bookmarkStart w:id="3" w:name="_Ref477772740"/>
      <w:r w:rsidRPr="00907646">
        <w:t>protokoły badań i sprawdzeń zgodnie z STWiORB,</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w:t>
      </w:r>
      <w:r w:rsidRPr="00907646">
        <w:lastRenderedPageBreak/>
        <w:t>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Szczegółowe dane dotyczące wykonania Przedmiotu umowy, jego lokalizację i zakres robót określa dokumentacja projektowa i STWiORB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32B4F974"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 xml:space="preserve">roboty zamienne w stosunku do robót przewidzianych w dokumentacji projektowej i STWiORB,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(zamówienia dodatkowe w rozumieniu ustawy Pzp),</w:t>
      </w:r>
    </w:p>
    <w:p w14:paraId="423DAD4B" w14:textId="77777777" w:rsidR="00907646" w:rsidRPr="00907646" w:rsidRDefault="00907646" w:rsidP="00907646">
      <w:pPr>
        <w:pStyle w:val="Nagwek3"/>
        <w:rPr>
          <w:rFonts w:eastAsia="Calibri"/>
        </w:rPr>
      </w:pPr>
      <w:r w:rsidRPr="00907646">
        <w:rPr>
          <w:rFonts w:eastAsia="Calibri"/>
        </w:rPr>
        <w:t>wykonania robót objętych zamówieniem uzupełniającym, jeżeli zamawiający przewidział możliwość udzielenia zamówień uzupełniających w ogłoszeniu o zamówieniu podstawowymi (w rozumieniu ustawy Pzp),</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Strony nie zawierają odrębnych umów na podstawie przepisów ustawy Pzp.</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Pzp. </w:t>
      </w:r>
    </w:p>
    <w:p w14:paraId="0178AAD4" w14:textId="5CE94608" w:rsidR="00907646" w:rsidRPr="00907646" w:rsidRDefault="00907646" w:rsidP="00907646">
      <w:pPr>
        <w:pStyle w:val="Nagwek2"/>
        <w:rPr>
          <w:b/>
          <w:bCs/>
        </w:rPr>
      </w:pPr>
      <w:r w:rsidRPr="00907646">
        <w:t>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w:t>
      </w:r>
      <w:r w:rsidR="00681252">
        <w:t> </w:t>
      </w:r>
      <w:r w:rsidRPr="00907646">
        <w:t xml:space="preserve">przyczyn, za które odpowiedzialność ponosi Wykonawca. </w:t>
      </w:r>
    </w:p>
    <w:p w14:paraId="0D3E389F" w14:textId="6D93A405"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w:t>
      </w:r>
      <w:r w:rsidR="00681252">
        <w:t> </w:t>
      </w:r>
      <w:r w:rsidRPr="00907646">
        <w:t>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przedstawienie przez Kierownika Budowy wyników badań określonych w STWiORB,</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45E52CED"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5F024974"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Wykonawca ma obowiązek wykonania Przedmiotu umowy zgodnie z Umową, dokumentacją projektową, SWiOBR,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5A02C9CF" w:rsidR="00907646" w:rsidRPr="00907646" w:rsidRDefault="00907646" w:rsidP="00907646">
      <w:pPr>
        <w:pStyle w:val="Nagwek3"/>
      </w:pPr>
      <w:r w:rsidRPr="00907646">
        <w:t>przedstawienia Inspektorowi Nadzoru, przed przystąpieniem do robót, uzgodnionego     w</w:t>
      </w:r>
      <w:r w:rsidR="00681252">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31F19FAC"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681252">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zapewnienie warunków bezpieczeństwa, utrzymanie porządku na budowie oraz metody organizacyjno–techniczne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zabezpieczenie obsługi geodezyjnej (na wszystkie roboty zgodnie z wymaganiami zawartymi w STWiORB),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wykonanie geodezyjnej inwentaryzacji powykonawczej po zrealizowaniu przedmiotu umowy w 1 egzemplarzu dla Zamawiającego oraz po 1 egzemplarzu dla każdej z branż objętych przedmiotem zamówienia oraz w 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zapewnienie sprzętu, urządzeń, pracowników i materiałów potrzebnych do wykonania badań na etapie przygotowania się do robót oraz podczas realizacji budowy zgodnie z wymaganiami zawartymi w STWiORB; koszty wykonania wszystkich próbek oraz przeprowadzenia badań ponosi Wykonawca,</w:t>
      </w:r>
    </w:p>
    <w:p w14:paraId="2608E788" w14:textId="77777777" w:rsidR="00907646" w:rsidRPr="00907646" w:rsidRDefault="00907646" w:rsidP="00907646">
      <w:pPr>
        <w:pStyle w:val="Nagwek3"/>
      </w:pPr>
      <w:r w:rsidRPr="00907646">
        <w:t>posiadanie lub możliwość dostępu do laboratorium wyposażonego w sprzęt do badań kontrolnych wymaganych postanowieniami STWiORB,</w:t>
      </w:r>
    </w:p>
    <w:p w14:paraId="3EA70CB2" w14:textId="77777777" w:rsidR="00907646" w:rsidRPr="00907646" w:rsidRDefault="00907646" w:rsidP="00907646">
      <w:pPr>
        <w:pStyle w:val="Nagwek3"/>
      </w:pPr>
      <w:r w:rsidRPr="00907646">
        <w:t>pobieranie próbek i przeprowadzenie badań przewidzianych w STWiORB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stosowanie się do wszystkich poleceń Inspektora Nadzoru, które są zgodne z STWiORB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FD7E539"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02C5D84C"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28F847F9"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6B2BB987"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Orgbud, Intercenbud,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4D323C55"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004DD1BC"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1454B15E"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77777777" w:rsidR="00907646" w:rsidRPr="00907646" w:rsidRDefault="00907646" w:rsidP="00907646">
      <w:pPr>
        <w:pStyle w:val="Nagwek2"/>
      </w:pPr>
      <w:r w:rsidRPr="00907646">
        <w:t xml:space="preserve">Należność wynikającą z faktury będzie płatna przelewem na konto Wykonawcy wskazane w fakturze VAT w terminie 30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59721D85"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5113D7E3" w:rsidR="00907646" w:rsidRPr="00907646" w:rsidRDefault="00907646" w:rsidP="00907646">
      <w:pPr>
        <w:pStyle w:val="Nagwek2"/>
      </w:pPr>
      <w:bookmarkStart w:id="21" w:name="_Ref477774257"/>
      <w:r w:rsidRPr="00907646">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in solidum</w:t>
      </w:r>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37A66923" w14:textId="123236BD"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576D33A7"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74425397"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3C2814DB"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Jeżeli w trakcie realizacji niniejszej umowy Wykonawca będzie chciał zmienić albo zrezygnować z Podwykonawcy, na którego zasoby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udzielenie zamówienia zgodnie z art.122 Pzp.</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29"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37ABC799"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Pzp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1D8758E9" w:rsidR="00907646" w:rsidRPr="00907646" w:rsidRDefault="00907646" w:rsidP="00907646">
      <w:pPr>
        <w:pStyle w:val="Nagwek2"/>
      </w:pPr>
      <w:r w:rsidRPr="00907646">
        <w:t>Suma kar umownych należnych Zamawiającemu od Wykonawcy nie może przekroczyć 25%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r w:rsidRPr="00907646">
        <w:rPr>
          <w:rFonts w:asciiTheme="minorHAnsi" w:hAnsiTheme="minorHAnsi"/>
        </w:rPr>
        <w:t xml:space="preserve">ryzyk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77777777" w:rsidR="00907646" w:rsidRPr="00907646" w:rsidRDefault="00907646" w:rsidP="00907646">
      <w:pPr>
        <w:pStyle w:val="Nagwek2"/>
      </w:pPr>
      <w:r w:rsidRPr="00907646">
        <w:t xml:space="preserve">Zamawiający, </w:t>
      </w:r>
      <w:r w:rsidRPr="00907646">
        <w:rPr>
          <w:rStyle w:val="Nagwek2Znak"/>
        </w:rPr>
        <w:t>zgodnie art. 95 ust. 1 ustawy Pzp, wymaga zatrudnienia przez Wykonawcę lub Podwykonawcę na podstawie umowy o pracę w rozumieniu przepisów ustawy z dnia 26 czerwca 1974 r. Kodeks pracy (t. j. Dz.U. z 2020 r. poz. 1320 z późn.zm.) w pełnym wymiarze czasu</w:t>
      </w:r>
      <w:r w:rsidRPr="00907646">
        <w:t xml:space="preserve"> pracy osób, zwanych dalej Pracownikami, obejmują następujące rodzaje czynności: </w:t>
      </w:r>
      <w:bookmarkStart w:id="35" w:name="_Hlk66355327"/>
      <w:r w:rsidRPr="00907646">
        <w:rPr>
          <w:u w:val="single"/>
        </w:rPr>
        <w:t>pracownicy fizyczni i operatorzy maszyn na terenie placu budowy</w:t>
      </w:r>
      <w:bookmarkEnd w:id="35"/>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77777777"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Wszelkie zmiany i uzupełnienia w treści Umowy wymagają pod rygorem nieważności formy pisemnej w postaci aneksu do Umowy podpisanego przez obie Strony, z zastrzeżeniem wyjątków przewidzianych w Umowie oraz z uwzględnieniem art. 454 i 455 ustawy Pzp.</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Nie stanowią zmiany Umowy w rozumieniu art. 455 Pzp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E4EC1" w14:textId="77777777" w:rsidR="00137F31" w:rsidRDefault="00137F31">
      <w:r>
        <w:separator/>
      </w:r>
    </w:p>
  </w:endnote>
  <w:endnote w:type="continuationSeparator" w:id="0">
    <w:p w14:paraId="33C10BD7" w14:textId="77777777" w:rsidR="00137F31" w:rsidRDefault="0013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9A83" w14:textId="77777777" w:rsidR="00137F31" w:rsidRDefault="00137F31">
      <w:r>
        <w:separator/>
      </w:r>
    </w:p>
  </w:footnote>
  <w:footnote w:type="continuationSeparator" w:id="0">
    <w:p w14:paraId="3B21E6A2" w14:textId="77777777" w:rsidR="00137F31" w:rsidRDefault="00137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114AF5C9"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Pr>
        <w:rFonts w:ascii="Arial" w:hAnsi="Arial" w:cs="Arial"/>
        <w:bCs/>
        <w:color w:val="000000"/>
        <w:sz w:val="20"/>
        <w:lang w:eastAsia="ar-SA"/>
      </w:rPr>
      <w:t>1</w:t>
    </w:r>
    <w:r w:rsidR="00681252">
      <w:rPr>
        <w:rFonts w:ascii="Arial" w:hAnsi="Arial" w:cs="Arial"/>
        <w:bCs/>
        <w:color w:val="000000"/>
        <w:sz w:val="20"/>
        <w:lang w:eastAsia="ar-SA"/>
      </w:rPr>
      <w:t>9</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101324"/>
    <w:rsid w:val="00137F31"/>
    <w:rsid w:val="00146D6B"/>
    <w:rsid w:val="001E52A8"/>
    <w:rsid w:val="002B4619"/>
    <w:rsid w:val="003B0642"/>
    <w:rsid w:val="00561830"/>
    <w:rsid w:val="0057207E"/>
    <w:rsid w:val="005E32C1"/>
    <w:rsid w:val="00681252"/>
    <w:rsid w:val="007565C5"/>
    <w:rsid w:val="00907646"/>
    <w:rsid w:val="00916560"/>
    <w:rsid w:val="00951F15"/>
    <w:rsid w:val="009F26A3"/>
    <w:rsid w:val="00A15171"/>
    <w:rsid w:val="00A45ABF"/>
    <w:rsid w:val="00A82E44"/>
    <w:rsid w:val="00BA63E6"/>
    <w:rsid w:val="00BC7508"/>
    <w:rsid w:val="00CA6764"/>
    <w:rsid w:val="00CC042B"/>
    <w:rsid w:val="00D11749"/>
    <w:rsid w:val="00DC749E"/>
    <w:rsid w:val="00DF6ACD"/>
    <w:rsid w:val="00E9435A"/>
    <w:rsid w:val="00F52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26</Pages>
  <Words>10798</Words>
  <Characters>64788</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11</cp:revision>
  <cp:lastPrinted>2021-03-16T09:26:00Z</cp:lastPrinted>
  <dcterms:created xsi:type="dcterms:W3CDTF">2021-03-16T09:20:00Z</dcterms:created>
  <dcterms:modified xsi:type="dcterms:W3CDTF">2021-05-11T06:09:00Z</dcterms:modified>
</cp:coreProperties>
</file>